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C" w:rsidRDefault="0084005C" w:rsidP="0084005C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</w:pPr>
    </w:p>
    <w:p w:rsidR="008D4DA1" w:rsidRPr="00F222F9" w:rsidRDefault="008D4DA1" w:rsidP="008D4DA1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rtl/>
          <w:lang w:eastAsia="ar-SA"/>
        </w:rPr>
      </w:pPr>
      <w:r w:rsidRPr="00F222F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/>
        </w:rPr>
        <w:t xml:space="preserve">توزيع منهج مادة </w:t>
      </w:r>
      <w:r w:rsidRPr="00F222F9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>حديث المستوى الخامس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 xml:space="preserve"> ( </w:t>
      </w:r>
      <w:r w:rsidRPr="00F222F9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 xml:space="preserve"> المسار الأدبي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>)</w:t>
      </w:r>
      <w:r w:rsidRPr="00F222F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/>
        </w:rPr>
        <w:t xml:space="preserve">للصف </w:t>
      </w:r>
      <w:r w:rsidRPr="00F222F9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 xml:space="preserve">الثالثثانوي </w:t>
      </w:r>
      <w:r w:rsidRPr="00F222F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/>
        </w:rPr>
        <w:t xml:space="preserve">         للعام الدراسي</w:t>
      </w:r>
      <w:r w:rsidRPr="00F222F9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>1437</w:t>
      </w:r>
      <w:r w:rsidRPr="00F222F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rtl/>
          <w:lang w:eastAsia="ar-SA"/>
        </w:rPr>
        <w:t xml:space="preserve"> ــ </w:t>
      </w:r>
      <w:r w:rsidRPr="00F222F9">
        <w:rPr>
          <w:rFonts w:ascii="Times New Roman" w:eastAsia="Times New Roman" w:hAnsi="Times New Roman" w:cs="Times New Roman" w:hint="cs"/>
          <w:b/>
          <w:bCs/>
          <w:noProof/>
          <w:color w:val="FF0000"/>
          <w:sz w:val="28"/>
          <w:szCs w:val="28"/>
          <w:rtl/>
          <w:lang w:eastAsia="ar-SA"/>
        </w:rPr>
        <w:t>1438</w:t>
      </w:r>
      <w:r w:rsidRPr="00F222F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rtl/>
          <w:lang w:eastAsia="ar-SA"/>
        </w:rPr>
        <w:t xml:space="preserve"> هـ</w:t>
      </w:r>
      <w:r w:rsidRPr="00F222F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  <w:lang w:eastAsia="ar-SA"/>
        </w:rPr>
        <w:t xml:space="preserve">الفصل الدراسي </w:t>
      </w:r>
      <w:r w:rsidRPr="00F222F9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3100"/>
        <w:gridCol w:w="7"/>
        <w:gridCol w:w="2072"/>
        <w:gridCol w:w="1035"/>
        <w:gridCol w:w="1044"/>
        <w:gridCol w:w="2079"/>
        <w:gridCol w:w="3092"/>
        <w:gridCol w:w="3108"/>
      </w:tblGrid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الأول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الاسبوع الخامس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8D4DA1" w:rsidRPr="00C96A1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17/12/1437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24/12/1437هـ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01/01/1438هـ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08/01/1438هـ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ascii="Aljazeera" w:hAnsi="Aljazeera" w:cs="mohammad bold art 1" w:hint="cs"/>
                <w:color w:val="FF0000"/>
                <w:rtl/>
              </w:rPr>
              <w:t>15/01/1438هـ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تمهيد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تمهيد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الحديث ومصطلحه 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تابع الحديث ومصطلحه</w:t>
            </w:r>
          </w:p>
          <w:p w:rsidR="008D4DA1" w:rsidRPr="00003BE3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أقسام الحديث من جهة المسند إليه 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أقسام الحديث من حيث القبول والرد 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الحديث المردود 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تابع / الحديث المردود </w:t>
            </w:r>
          </w:p>
          <w:p w:rsidR="008D4DA1" w:rsidRPr="00003BE3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الحديث المردود 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تدوين السنة 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الجرح والتعديل </w:t>
            </w:r>
          </w:p>
          <w:p w:rsidR="008D4DA1" w:rsidRPr="00003BE3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العصف الذهني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حق المسلم على المسلم 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إن الله كتب الحسنات </w:t>
            </w:r>
          </w:p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سبعة يظلهم الله في ظله </w:t>
            </w:r>
          </w:p>
          <w:p w:rsidR="008D4DA1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إن الله طيب لا يقبل إلا طيبا</w:t>
            </w:r>
          </w:p>
          <w:p w:rsidR="008D4DA1" w:rsidRPr="00003BE3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العصف الذهني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8D4DA1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كان الرسول يصلي الاستخارة </w:t>
            </w:r>
          </w:p>
          <w:p w:rsidR="008D4DA1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هل  رأى أحد منكم رؤيا </w:t>
            </w:r>
          </w:p>
          <w:p w:rsidR="008D4DA1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كان غلاما رهينة بقيقته </w:t>
            </w:r>
          </w:p>
          <w:p w:rsidR="008D4DA1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إن ابني كان عسيفا علي </w:t>
            </w:r>
          </w:p>
          <w:p w:rsidR="008D4DA1" w:rsidRPr="008A31FD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العاشر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8D4DA1" w:rsidRPr="00C96A1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22/01/1438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29/01/1438هـ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06/02/1438هـ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20/02/1438هـ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27/02/1438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8D4DA1" w:rsidRPr="00F222F9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20"/>
                <w:szCs w:val="20"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 xml:space="preserve">أن فتى اتى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>النبي صلى الله عليه وسلم فقال ائ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 xml:space="preserve">ذن 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 xml:space="preserve">  ــ </w:t>
            </w: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 xml:space="preserve">أتدرون من المفلس </w:t>
            </w:r>
          </w:p>
          <w:p w:rsidR="008D4DA1" w:rsidRPr="006B0D66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20"/>
                <w:szCs w:val="20"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 xml:space="preserve">إن الله قال من عادى لي وليا </w:t>
            </w:r>
          </w:p>
          <w:p w:rsidR="008D4DA1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20"/>
                <w:szCs w:val="20"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 xml:space="preserve">يوشك أن تتداعى عليكم الأمم </w:t>
            </w:r>
          </w:p>
          <w:p w:rsidR="008D4DA1" w:rsidRPr="006B0D66" w:rsidRDefault="008D4DA1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اختبار الفترة الأولى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من خصائص الشريعة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التوسط والاعتدال </w:t>
            </w:r>
          </w:p>
          <w:p w:rsidR="008D4DA1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>الأمر بالمعروف ......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العصف الذهني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8D4DA1" w:rsidRPr="00F222F9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الجهاد في سبيل الله </w:t>
            </w:r>
          </w:p>
          <w:p w:rsidR="008D4DA1" w:rsidRPr="00F222F9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الشيطان ومداخله </w:t>
            </w:r>
          </w:p>
          <w:p w:rsidR="008D4DA1" w:rsidRPr="00F222F9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الذنوب والمعاصي </w:t>
            </w:r>
          </w:p>
          <w:p w:rsidR="008D4DA1" w:rsidRPr="00F222F9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التوبة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الابتلاء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الصبر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حجاب المرأة المسلمة </w:t>
            </w:r>
          </w:p>
          <w:p w:rsidR="008D4DA1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حجاب المرأة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العصف الذهني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الأخلاق وأهميتها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الأمانة </w:t>
            </w:r>
          </w:p>
          <w:p w:rsidR="008D4DA1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الشمائل المحمدية  ـــ 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حقوق الوالدين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 xml:space="preserve">التعليم التعاوني 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الأسبوع 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الحادي عشر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الأسبوع 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الثاني</w:t>
            </w: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الأسبوع 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الثالث</w:t>
            </w: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الأسبوع 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الرابع</w:t>
            </w: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الأسبوع 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>الخامس</w:t>
            </w: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  <w:lang w:eastAsia="ar-SA"/>
              </w:rPr>
              <w:t xml:space="preserve"> عشر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>05/03/1438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8D4DA1" w:rsidRPr="006B0D66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20"/>
                <w:szCs w:val="20"/>
              </w:rPr>
            </w:pPr>
            <w:r w:rsidRPr="006B0D66">
              <w:rPr>
                <w:rFonts w:cs="mohammad bold art 1" w:hint="cs"/>
                <w:color w:val="FF0000"/>
                <w:sz w:val="20"/>
                <w:szCs w:val="20"/>
                <w:rtl/>
              </w:rPr>
              <w:t>12/03/1438هـ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8D4DA1" w:rsidRPr="006B0D66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20"/>
                <w:szCs w:val="20"/>
              </w:rPr>
            </w:pPr>
            <w:r w:rsidRPr="006B0D66">
              <w:rPr>
                <w:rFonts w:cs="mohammad bold art 1" w:hint="cs"/>
                <w:color w:val="FF0000"/>
                <w:sz w:val="20"/>
                <w:szCs w:val="20"/>
                <w:rtl/>
              </w:rPr>
              <w:t>19/03/1438هـ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8D4DA1" w:rsidRPr="006B0D66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20"/>
                <w:szCs w:val="20"/>
              </w:rPr>
            </w:pPr>
            <w:r w:rsidRPr="006B0D66">
              <w:rPr>
                <w:rFonts w:cs="mohammad bold art 1" w:hint="cs"/>
                <w:color w:val="FF0000"/>
                <w:sz w:val="20"/>
                <w:szCs w:val="20"/>
                <w:rtl/>
              </w:rPr>
              <w:t>26/03/1438هـ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8D4DA1" w:rsidRPr="006B0D66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20"/>
                <w:szCs w:val="20"/>
              </w:rPr>
            </w:pPr>
            <w:r w:rsidRPr="006B0D6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>03/04/1438</w:t>
            </w: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حقوق الوالدين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آداب التعامل مع الخدم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السفر وأحكامه </w:t>
            </w:r>
          </w:p>
          <w:p w:rsidR="008D4DA1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السفر وأحكامه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العصف الذهني</w:t>
            </w:r>
          </w:p>
        </w:tc>
        <w:tc>
          <w:tcPr>
            <w:tcW w:w="3107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المزاح وآدابه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اختبار الفترة الثانية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الزهد والورع </w:t>
            </w:r>
          </w:p>
          <w:p w:rsidR="008D4DA1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الزهد والورع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الحوار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الاستماع وأحكامه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السياسة الشرعية الاسلامية </w:t>
            </w:r>
          </w:p>
          <w:p w:rsidR="008D4DA1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السياسة الشرعية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>التعليم التعاوني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اللغة العربية وأهميتها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اللغة العربية وأهميتها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الحضارة الاسلامية </w:t>
            </w:r>
          </w:p>
          <w:p w:rsidR="008D4DA1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الحضارة الاسلامية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F222F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>التعليم التعاوني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المسجد الأقصى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المسجد الأقصى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تابع / المسجد الأقصى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6B0D6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  <w:t xml:space="preserve">متابعة ملفات الطالبات </w:t>
            </w:r>
          </w:p>
          <w:p w:rsidR="008D4DA1" w:rsidRPr="006B0D6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العصف الذهني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FFFF99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FFFF99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E5B8B7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CCFFFF"/>
            <w:vAlign w:val="center"/>
          </w:tcPr>
          <w:p w:rsidR="008D4DA1" w:rsidRPr="00C96A1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10/04/1438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8D4DA1" w:rsidRDefault="008D4DA1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17/04/1438هـ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8D4DA1" w:rsidRPr="00C96A1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24/04/1438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CCFFFF"/>
            <w:vAlign w:val="center"/>
          </w:tcPr>
          <w:p w:rsidR="008D4DA1" w:rsidRPr="00C96A16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CCFFFF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8D4DA1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مراجعة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اختبارات الفصل الدراسي الاول</w:t>
            </w:r>
          </w:p>
        </w:tc>
        <w:tc>
          <w:tcPr>
            <w:tcW w:w="6200" w:type="dxa"/>
            <w:gridSpan w:val="2"/>
            <w:shd w:val="clear" w:color="auto" w:fill="FFFFFF"/>
            <w:vAlign w:val="center"/>
          </w:tcPr>
          <w:p w:rsidR="008D4DA1" w:rsidRPr="007B2D4B" w:rsidRDefault="008D4DA1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8D4DA1" w:rsidRPr="007B2D4B" w:rsidRDefault="008D4DA1" w:rsidP="008D4DA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8D4DA1" w:rsidRPr="00974E00" w:rsidRDefault="008D4DA1" w:rsidP="008D4DA1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معلمة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مشرفة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color w:val="FF0000"/>
          <w:sz w:val="16"/>
          <w:szCs w:val="24"/>
          <w:rtl/>
          <w:lang w:eastAsia="ar-SA"/>
        </w:rPr>
        <w:t>قائدة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24"/>
          <w:rtl/>
          <w:lang w:eastAsia="ar-SA"/>
        </w:rPr>
        <w:t xml:space="preserve"> المدرسة</w:t>
      </w:r>
    </w:p>
    <w:p w:rsidR="008D4DA1" w:rsidRPr="00F222F9" w:rsidRDefault="008D4DA1" w:rsidP="008D4DA1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lang w:eastAsia="ar-SA"/>
        </w:rPr>
      </w:pP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</w:t>
      </w:r>
      <w:bookmarkStart w:id="0" w:name="_GoBack"/>
      <w:bookmarkEnd w:id="0"/>
    </w:p>
    <w:p w:rsidR="00AE13DE" w:rsidRDefault="00AE13DE" w:rsidP="00AE13DE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</w:pPr>
    </w:p>
    <w:p w:rsidR="00521A60" w:rsidRDefault="00521A60" w:rsidP="00521A60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</w:pPr>
    </w:p>
    <w:p w:rsidR="004F522F" w:rsidRDefault="004F522F" w:rsidP="00B67A6B">
      <w:pPr>
        <w:spacing w:after="0" w:line="240" w:lineRule="auto"/>
        <w:ind w:left="-32"/>
        <w:rPr>
          <w:rFonts w:ascii="Times New Roman" w:eastAsia="Times New Roman" w:hAnsi="Times New Roman" w:cs="Times New Roman" w:hint="cs"/>
          <w:b/>
          <w:bCs/>
          <w:noProof/>
          <w:rtl/>
          <w:lang w:eastAsia="ar-SA"/>
        </w:rPr>
      </w:pPr>
    </w:p>
    <w:p w:rsidR="004F522F" w:rsidRDefault="004F522F" w:rsidP="004F522F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</w:pPr>
    </w:p>
    <w:sectPr w:rsidR="004F522F" w:rsidSect="00C96A16">
      <w:pgSz w:w="16838" w:h="11906" w:orient="landscape"/>
      <w:pgMar w:top="568" w:right="1103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C96A16"/>
    <w:rsid w:val="00003BE3"/>
    <w:rsid w:val="00030FB0"/>
    <w:rsid w:val="00051267"/>
    <w:rsid w:val="00071D78"/>
    <w:rsid w:val="000C753C"/>
    <w:rsid w:val="000E616C"/>
    <w:rsid w:val="000F00D8"/>
    <w:rsid w:val="000F3CDD"/>
    <w:rsid w:val="001032C7"/>
    <w:rsid w:val="0018171D"/>
    <w:rsid w:val="00182B01"/>
    <w:rsid w:val="001A5688"/>
    <w:rsid w:val="001D2B27"/>
    <w:rsid w:val="001E782F"/>
    <w:rsid w:val="001F61F7"/>
    <w:rsid w:val="0020560C"/>
    <w:rsid w:val="002122DE"/>
    <w:rsid w:val="0025182D"/>
    <w:rsid w:val="002619CB"/>
    <w:rsid w:val="002E08DF"/>
    <w:rsid w:val="002E75D5"/>
    <w:rsid w:val="00314FED"/>
    <w:rsid w:val="003A60C1"/>
    <w:rsid w:val="003B61C2"/>
    <w:rsid w:val="00432092"/>
    <w:rsid w:val="00487B85"/>
    <w:rsid w:val="004908FF"/>
    <w:rsid w:val="00495739"/>
    <w:rsid w:val="004F522F"/>
    <w:rsid w:val="00521A60"/>
    <w:rsid w:val="00527FD6"/>
    <w:rsid w:val="0053089F"/>
    <w:rsid w:val="0055671E"/>
    <w:rsid w:val="00571279"/>
    <w:rsid w:val="00596677"/>
    <w:rsid w:val="00596E36"/>
    <w:rsid w:val="005A36A1"/>
    <w:rsid w:val="005C5DA5"/>
    <w:rsid w:val="00636A70"/>
    <w:rsid w:val="00641CAF"/>
    <w:rsid w:val="00671D04"/>
    <w:rsid w:val="00674791"/>
    <w:rsid w:val="00680E81"/>
    <w:rsid w:val="006913A0"/>
    <w:rsid w:val="00691BE3"/>
    <w:rsid w:val="006B0D66"/>
    <w:rsid w:val="006C1083"/>
    <w:rsid w:val="006C4A89"/>
    <w:rsid w:val="006C7E5D"/>
    <w:rsid w:val="007153A1"/>
    <w:rsid w:val="00766A38"/>
    <w:rsid w:val="007B2D4B"/>
    <w:rsid w:val="007C3457"/>
    <w:rsid w:val="00802BD4"/>
    <w:rsid w:val="00826867"/>
    <w:rsid w:val="00834D40"/>
    <w:rsid w:val="0084005C"/>
    <w:rsid w:val="008747BA"/>
    <w:rsid w:val="008A31FD"/>
    <w:rsid w:val="008D0868"/>
    <w:rsid w:val="008D4DA1"/>
    <w:rsid w:val="008E1597"/>
    <w:rsid w:val="008E1793"/>
    <w:rsid w:val="008E3FCE"/>
    <w:rsid w:val="008E725B"/>
    <w:rsid w:val="0094046D"/>
    <w:rsid w:val="00974E00"/>
    <w:rsid w:val="00991AB7"/>
    <w:rsid w:val="009A1DF2"/>
    <w:rsid w:val="009B7F05"/>
    <w:rsid w:val="00A23A1A"/>
    <w:rsid w:val="00A32410"/>
    <w:rsid w:val="00A369EB"/>
    <w:rsid w:val="00A61DFE"/>
    <w:rsid w:val="00A651C6"/>
    <w:rsid w:val="00A74FAA"/>
    <w:rsid w:val="00AE13DE"/>
    <w:rsid w:val="00B00326"/>
    <w:rsid w:val="00B04386"/>
    <w:rsid w:val="00B145DF"/>
    <w:rsid w:val="00B35B4F"/>
    <w:rsid w:val="00B4154C"/>
    <w:rsid w:val="00B52B33"/>
    <w:rsid w:val="00B67A6B"/>
    <w:rsid w:val="00B77FD6"/>
    <w:rsid w:val="00BC4691"/>
    <w:rsid w:val="00BE43FC"/>
    <w:rsid w:val="00BF228D"/>
    <w:rsid w:val="00C01BA1"/>
    <w:rsid w:val="00C27161"/>
    <w:rsid w:val="00C30894"/>
    <w:rsid w:val="00C35E9C"/>
    <w:rsid w:val="00C64CDC"/>
    <w:rsid w:val="00C96A16"/>
    <w:rsid w:val="00D233E8"/>
    <w:rsid w:val="00D34CF9"/>
    <w:rsid w:val="00DA2B3F"/>
    <w:rsid w:val="00DC25D2"/>
    <w:rsid w:val="00DD6BAF"/>
    <w:rsid w:val="00DD78DF"/>
    <w:rsid w:val="00DF7734"/>
    <w:rsid w:val="00E54EBC"/>
    <w:rsid w:val="00E61428"/>
    <w:rsid w:val="00E87AD4"/>
    <w:rsid w:val="00EB4F57"/>
    <w:rsid w:val="00F13556"/>
    <w:rsid w:val="00F146B4"/>
    <w:rsid w:val="00F222F9"/>
    <w:rsid w:val="00F626D7"/>
    <w:rsid w:val="00F726AA"/>
    <w:rsid w:val="00F77008"/>
    <w:rsid w:val="00F80BF7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SONY</cp:lastModifiedBy>
  <cp:revision>2</cp:revision>
  <dcterms:created xsi:type="dcterms:W3CDTF">2016-09-27T06:20:00Z</dcterms:created>
  <dcterms:modified xsi:type="dcterms:W3CDTF">2016-09-27T06:20:00Z</dcterms:modified>
</cp:coreProperties>
</file>