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jc w:val="center"/>
        <w:rPr/>
      </w:pPr>
      <w:r w:rsidDel="00000000" w:rsidR="00000000" w:rsidRPr="00000000">
        <w:rPr>
          <w:sz w:val="36"/>
          <w:szCs w:val="36"/>
          <w:rtl w:val="1"/>
        </w:rPr>
        <w:t xml:space="preserve">توزيع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مقرر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مادة</w:t>
      </w:r>
      <w:r w:rsidDel="00000000" w:rsidR="00000000" w:rsidRPr="00000000">
        <w:rPr>
          <w:sz w:val="36"/>
          <w:szCs w:val="36"/>
          <w:rtl w:val="1"/>
        </w:rPr>
        <w:t xml:space="preserve"> " </w:t>
      </w:r>
      <w:r w:rsidDel="00000000" w:rsidR="00000000" w:rsidRPr="00000000">
        <w:rPr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الإجتماعية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والوطنية</w:t>
      </w:r>
      <w:r w:rsidDel="00000000" w:rsidR="00000000" w:rsidRPr="00000000">
        <w:rPr>
          <w:sz w:val="36"/>
          <w:szCs w:val="36"/>
          <w:rtl w:val="1"/>
        </w:rPr>
        <w:t xml:space="preserve"> " </w:t>
      </w:r>
      <w:r w:rsidDel="00000000" w:rsidR="00000000" w:rsidRPr="00000000">
        <w:rPr>
          <w:sz w:val="36"/>
          <w:szCs w:val="36"/>
          <w:rtl w:val="1"/>
        </w:rPr>
        <w:t xml:space="preserve">للصف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الثانوي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المستوى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الثالث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للعام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الدراسي</w:t>
      </w:r>
      <w:r w:rsidDel="00000000" w:rsidR="00000000" w:rsidRPr="00000000">
        <w:rPr>
          <w:sz w:val="36"/>
          <w:szCs w:val="36"/>
          <w:rtl w:val="1"/>
        </w:rPr>
        <w:t xml:space="preserve"> 1438/1439 </w:t>
      </w:r>
      <w:r w:rsidDel="00000000" w:rsidR="00000000" w:rsidRPr="00000000">
        <w:rPr>
          <w:sz w:val="36"/>
          <w:szCs w:val="36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200.0" w:type="dxa"/>
        <w:jc w:val="left"/>
        <w:tblInd w:w="15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977"/>
        <w:gridCol w:w="2879"/>
        <w:gridCol w:w="1985"/>
        <w:gridCol w:w="1843"/>
        <w:gridCol w:w="2671"/>
        <w:gridCol w:w="2845"/>
        <w:tblGridChange w:id="0">
          <w:tblGrid>
            <w:gridCol w:w="2977"/>
            <w:gridCol w:w="2879"/>
            <w:gridCol w:w="1985"/>
            <w:gridCol w:w="1843"/>
            <w:gridCol w:w="2671"/>
            <w:gridCol w:w="2845"/>
          </w:tblGrid>
        </w:tblGridChange>
      </w:tblGrid>
      <w:tr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الأول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الثاني</w:t>
            </w:r>
          </w:p>
        </w:tc>
        <w:tc>
          <w:tcPr>
            <w:gridSpan w:val="2"/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الثالث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الرابع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الخامس</w:t>
            </w:r>
          </w:p>
        </w:tc>
      </w:tr>
      <w:tr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spacing w:before="100" w:lineRule="auto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26 /  12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1 / 1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pStyle w:val="Subtitle"/>
              <w:bidi w:val="1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4 / 1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8 / 1</w:t>
            </w:r>
          </w:p>
        </w:tc>
        <w:tc>
          <w:tcPr>
            <w:gridSpan w:val="2"/>
            <w:shd w:fill="fbd5b5" w:val="clear"/>
            <w:vAlign w:val="center"/>
          </w:tcPr>
          <w:p w:rsidR="00000000" w:rsidDel="00000000" w:rsidP="00000000" w:rsidRDefault="00000000" w:rsidRPr="00000000">
            <w:pPr>
              <w:pStyle w:val="Subtitle"/>
              <w:bidi w:val="1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11 / 1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15/ 1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pStyle w:val="Subtitle"/>
              <w:bidi w:val="1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18 / 1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22 / 1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pStyle w:val="Subtitle"/>
              <w:bidi w:val="1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25/ 1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29 / 1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bidi w:val="1"/>
              <w:ind w:left="720" w:hanging="36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التاريخ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bidi w:val="1"/>
              <w:ind w:left="720" w:hanging="36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التدوين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التاريخي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المؤرخين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المسلمين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إسهام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المؤرخين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الفكر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الراشدي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)  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والإدارة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حروب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الردة</w:t>
            </w:r>
          </w:p>
        </w:tc>
        <w:tc>
          <w:tcPr>
            <w:gridSpan w:val="2"/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الفتوحات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المنجزات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الحضارية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والعبر</w:t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الأموي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والإدارة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المنجزات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الحضارية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والعبر</w:t>
            </w:r>
          </w:p>
        </w:tc>
      </w:tr>
      <w:tr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السادس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السابع</w:t>
            </w:r>
          </w:p>
        </w:tc>
        <w:tc>
          <w:tcPr>
            <w:tcBorders>
              <w:right w:color="000000" w:space="0" w:sz="4" w:val="single"/>
            </w:tcBorders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الثامن</w:t>
            </w:r>
          </w:p>
        </w:tc>
        <w:tc>
          <w:tcPr>
            <w:tcBorders>
              <w:left w:color="000000" w:space="0" w:sz="4" w:val="single"/>
            </w:tcBorders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highlight w:val="magenta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highlight w:val="magenta"/>
                <w:rtl w:val="1"/>
              </w:rPr>
              <w:t xml:space="preserve">إجازة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highlight w:val="magenta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highlight w:val="magenta"/>
                <w:rtl w:val="1"/>
              </w:rPr>
              <w:t xml:space="preserve">منتصف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highlight w:val="magenta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highlight w:val="magenta"/>
                <w:rtl w:val="1"/>
              </w:rPr>
              <w:t xml:space="preserve">الفصل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التاسع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العاشر</w:t>
            </w:r>
          </w:p>
        </w:tc>
      </w:tr>
      <w:tr>
        <w:trPr>
          <w:trHeight w:val="320" w:hRule="atLeast"/>
        </w:trPr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rtl w:val="1"/>
              </w:rPr>
              <w:t xml:space="preserve">2 /2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rtl w:val="1"/>
              </w:rPr>
              <w:t xml:space="preserve">ـــ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rtl w:val="1"/>
              </w:rPr>
              <w:t xml:space="preserve"> 6/ 2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9/2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13/2</w:t>
            </w:r>
          </w:p>
        </w:tc>
        <w:tc>
          <w:tcPr>
            <w:tcBorders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16/ 2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20/ 2</w:t>
            </w:r>
          </w:p>
        </w:tc>
        <w:tc>
          <w:tcPr>
            <w:tcBorders>
              <w:left w:color="000000" w:space="0" w:sz="4" w:val="single"/>
            </w:tcBorders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magenta"/>
                <w:rtl w:val="1"/>
              </w:rPr>
              <w:t xml:space="preserve">23/2-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magenta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magenta"/>
                <w:rtl w:val="1"/>
              </w:rPr>
              <w:t xml:space="preserve"> 27/2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 /3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5/ 3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8/ 3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12/3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العباسي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والإدارة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العباسي</w:t>
            </w:r>
          </w:p>
        </w:tc>
        <w:tc>
          <w:tcPr>
            <w:tcBorders>
              <w:bottom w:color="000000" w:space="0" w:sz="18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المنجزات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الحضارية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العباسي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والعبر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highlight w:val="magenta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إجازة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منتصف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الفصل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highlight w:val="magenta"/>
                <w:rtl w:val="1"/>
              </w:rPr>
              <w:t xml:space="preserve">الأول</w:t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المملوكي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والإدارة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المنجزات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الحضارية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والعبر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الحادي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الثاني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gridSpan w:val="2"/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الثالث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الرابع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الخامس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</w:tr>
      <w:tr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15/ 3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19/ 3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22/ 3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26 / 3</w:t>
            </w:r>
          </w:p>
        </w:tc>
        <w:tc>
          <w:tcPr>
            <w:gridSpan w:val="2"/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29/3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3/4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6 / 4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10 / 4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13 /4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ـــ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17 /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العثماني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والإدارة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</w:p>
        </w:tc>
        <w:tc>
          <w:tcPr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حوادث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المنجزات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الحضارية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والعبر</w:t>
            </w:r>
          </w:p>
        </w:tc>
        <w:tc>
          <w:tcPr>
            <w:gridSpan w:val="2"/>
            <w:tcBorders>
              <w:bottom w:color="000000" w:space="0" w:sz="18" w:val="single"/>
            </w:tcBorders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(1 )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(1 )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(2- 3 )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السادس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السابع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gridSpan w:val="2"/>
            <w:shd w:fill="e36c09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الثامن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color w:val="ffffff"/>
                <w:sz w:val="36"/>
                <w:szCs w:val="36"/>
                <w:rtl w:val="1"/>
              </w:rPr>
              <w:t xml:space="preserve">عشر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بداية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إجازة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نهاية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الفصل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الدراسي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1"/>
              </w:rPr>
              <w:t xml:space="preserve">الأول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highlight w:val="green"/>
                <w:rtl w:val="0"/>
              </w:rPr>
              <w:t xml:space="preserve">9/5- 17/5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20/4  -  24/5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rtl w:val="0"/>
              </w:rPr>
              <w:t xml:space="preserve">27/4- 1/5</w:t>
            </w:r>
          </w:p>
        </w:tc>
        <w:tc>
          <w:tcPr>
            <w:gridSpan w:val="2"/>
            <w:shd w:fill="fbd5b5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36"/>
                <w:szCs w:val="36"/>
                <w:rtl w:val="0"/>
              </w:rPr>
              <w:t xml:space="preserve">4/5- 8/5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–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الشورى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3"/>
            <w:shd w:fill="dbeef3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dobe Arabic" w:cs="Adobe Arabic" w:eastAsia="Adobe Arabic" w:hAnsi="Adobe Arabic"/>
                <w:b w:val="1"/>
                <w:sz w:val="28"/>
                <w:szCs w:val="28"/>
                <w:rtl w:val="1"/>
              </w:rPr>
              <w:t xml:space="preserve">النهائية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rFonts w:ascii="Adobe Arabic" w:cs="Adobe Arabic" w:eastAsia="Adobe Arabic" w:hAnsi="Adobe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1"/>
        </w:rPr>
        <w:t xml:space="preserve">معلم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المادة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                                               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المشرف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التربوي</w:t>
      </w:r>
      <w:r w:rsidDel="00000000" w:rsidR="00000000" w:rsidRPr="00000000">
        <w:rPr>
          <w:b w:val="1"/>
          <w:sz w:val="36"/>
          <w:szCs w:val="36"/>
          <w:rtl w:val="1"/>
        </w:rPr>
        <w:t xml:space="preserve">                                          </w:t>
      </w:r>
      <w:r w:rsidDel="00000000" w:rsidR="00000000" w:rsidRPr="00000000">
        <w:rPr>
          <w:b w:val="1"/>
          <w:sz w:val="36"/>
          <w:szCs w:val="36"/>
          <w:rtl w:val="1"/>
        </w:rPr>
        <w:t xml:space="preserve">قائد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المدرسة</w:t>
      </w:r>
    </w:p>
    <w:sectPr>
      <w:pgSz w:h="11906" w:w="16838"/>
      <w:pgMar w:bottom="720" w:top="720" w:left="720" w:right="720" w:head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Adobe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b w:val="1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